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600"/>
        </w:tabs>
        <w:autoSpaceDE w:val="0"/>
        <w:autoSpaceDN w:val="0"/>
        <w:adjustRightInd w:val="0"/>
        <w:snapToGrid w:val="0"/>
        <w:jc w:val="center"/>
        <w:rPr>
          <w:rFonts w:hint="default" w:ascii="方正小标宋_GBK" w:hAnsi="方正小标宋_GBK" w:eastAsia="方正小标宋_GBK" w:cs="方正小标宋_GBK"/>
          <w:b/>
          <w:bCs/>
          <w:color w:val="auto"/>
          <w:spacing w:val="6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pacing w:val="6"/>
          <w:sz w:val="36"/>
          <w:szCs w:val="36"/>
          <w:highlight w:val="none"/>
          <w:lang w:val="en-US" w:eastAsia="zh-CN"/>
        </w:rPr>
        <w:t>招标代理机构采购比选的澄清函</w:t>
      </w:r>
    </w:p>
    <w:p>
      <w:pPr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各潜在参选人：</w:t>
      </w:r>
    </w:p>
    <w:p>
      <w:pPr>
        <w:pStyle w:val="2"/>
        <w:ind w:firstLine="560" w:firstLineChars="200"/>
        <w:rPr>
          <w:rFonts w:hint="eastAsia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关于本次比选资格要求及评审情况作如下澄清：</w:t>
      </w:r>
    </w:p>
    <w:p>
      <w:pPr>
        <w:numPr>
          <w:ilvl w:val="0"/>
          <w:numId w:val="1"/>
        </w:numPr>
        <w:ind w:firstLine="560" w:firstLineChars="200"/>
        <w:rPr>
          <w:rFonts w:hint="eastAsia" w:ascii="Times New Roman" w:hAnsi="Times New Roman" w:cs="方正仿宋_GBK"/>
          <w:b w:val="0"/>
          <w:bCs w:val="0"/>
          <w:color w:val="auto"/>
          <w:spacing w:val="7"/>
          <w:sz w:val="28"/>
          <w:szCs w:val="28"/>
          <w:highlight w:val="none"/>
          <w:lang w:val="en-US" w:eastAsia="zh-CN" w:bidi="en-US"/>
        </w:rPr>
      </w:pPr>
      <w:r>
        <w:rPr>
          <w:rFonts w:hint="eastAsia" w:eastAsia="宋体"/>
          <w:b w:val="0"/>
          <w:bCs w:val="0"/>
          <w:sz w:val="28"/>
          <w:szCs w:val="28"/>
          <w:lang w:val="en-US" w:eastAsia="zh-CN"/>
        </w:rPr>
        <w:t>比选公告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  <w:t>业绩要求“须在重庆市公共资源交易监督网可查询参评业绩不少于5个”与比选文件业绩要求</w:t>
      </w:r>
      <w:r>
        <w:rPr>
          <w:rFonts w:hint="eastAsia" w:ascii="Times New Roman" w:hAnsi="Times New Roman" w:cs="方正仿宋_GBK"/>
          <w:b w:val="0"/>
          <w:bCs w:val="0"/>
          <w:color w:val="auto"/>
          <w:spacing w:val="7"/>
          <w:sz w:val="28"/>
          <w:szCs w:val="28"/>
          <w:highlight w:val="none"/>
          <w:lang w:val="en-US" w:eastAsia="zh-CN" w:bidi="en-US"/>
        </w:rPr>
        <w:t>“近3年（2022年1月1日至2024年12月31日）内具有一个及以上招标代理业绩，提供合同主要内容复印件加盖鲜章”不一致</w:t>
      </w:r>
      <w:bookmarkStart w:id="0" w:name="_GoBack"/>
      <w:bookmarkEnd w:id="0"/>
      <w:r>
        <w:rPr>
          <w:rFonts w:hint="eastAsia" w:ascii="Times New Roman" w:hAnsi="Times New Roman" w:cs="方正仿宋_GBK"/>
          <w:b w:val="0"/>
          <w:bCs w:val="0"/>
          <w:color w:val="auto"/>
          <w:spacing w:val="7"/>
          <w:sz w:val="28"/>
          <w:szCs w:val="28"/>
          <w:highlight w:val="none"/>
          <w:lang w:val="en-US" w:eastAsia="zh-CN" w:bidi="en-US"/>
        </w:rPr>
        <w:t>，以比选文件业绩要求为准。</w:t>
      </w:r>
    </w:p>
    <w:p>
      <w:pPr>
        <w:pStyle w:val="2"/>
        <w:numPr>
          <w:ilvl w:val="0"/>
          <w:numId w:val="1"/>
        </w:numPr>
        <w:ind w:left="0" w:leftChars="0"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以上内容为比选文件的一部分，其他条件不发生变化。</w:t>
      </w:r>
    </w:p>
    <w:p>
      <w:pPr>
        <w:numPr>
          <w:numId w:val="0"/>
        </w:numPr>
        <w:ind w:left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重庆天原化工有限公司</w:t>
      </w:r>
    </w:p>
    <w:p>
      <w:pPr>
        <w:pStyle w:val="2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2025年7月7日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B8B46"/>
    <w:multiLevelType w:val="singleLevel"/>
    <w:tmpl w:val="37DB8B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21CE"/>
    <w:rsid w:val="685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2025-07-07T02:53:46Z</dcterms:created>
  <dc:creator>long</dc:creator>
  <cp:lastModifiedBy>long</cp:lastModifiedBy>
  <dcterms:modified xsi:type="dcterms:W3CDTF">2025-07-07T03:04:27Z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